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656D8">
      <w:pPr>
        <w:widowControl/>
        <w:jc w:val="center"/>
        <w:rPr>
          <w:rFonts w:eastAsia="方正小标宋_GBK"/>
          <w:sz w:val="48"/>
          <w:szCs w:val="48"/>
        </w:rPr>
      </w:pPr>
    </w:p>
    <w:p w14:paraId="651E9ECE">
      <w:pPr>
        <w:widowControl/>
        <w:jc w:val="center"/>
        <w:rPr>
          <w:rFonts w:eastAsia="方正小标宋_GBK"/>
          <w:sz w:val="48"/>
          <w:szCs w:val="48"/>
        </w:rPr>
      </w:pPr>
    </w:p>
    <w:p w14:paraId="0B1590F0">
      <w:pPr>
        <w:widowControl/>
        <w:jc w:val="center"/>
        <w:rPr>
          <w:rFonts w:ascii="仿宋" w:hAnsi="仿宋" w:eastAsia="仿宋"/>
          <w:b/>
          <w:sz w:val="48"/>
          <w:szCs w:val="48"/>
        </w:rPr>
      </w:pPr>
      <w:r>
        <w:rPr>
          <w:rFonts w:hint="eastAsia" w:ascii="仿宋" w:hAnsi="仿宋" w:eastAsia="仿宋"/>
          <w:b/>
          <w:sz w:val="48"/>
          <w:szCs w:val="48"/>
        </w:rPr>
        <w:t>2023年度江永县千家峒瑶族乡中心幼儿园整</w:t>
      </w:r>
      <w:r>
        <w:rPr>
          <w:rFonts w:ascii="仿宋" w:hAnsi="仿宋" w:eastAsia="仿宋"/>
          <w:b/>
          <w:sz w:val="48"/>
          <w:szCs w:val="48"/>
        </w:rPr>
        <w:t>体支出</w:t>
      </w:r>
    </w:p>
    <w:p w14:paraId="14B2CCB2">
      <w:pPr>
        <w:jc w:val="center"/>
        <w:rPr>
          <w:rFonts w:eastAsia="方正小标宋_GBK"/>
          <w:sz w:val="48"/>
          <w:szCs w:val="48"/>
        </w:rPr>
      </w:pPr>
    </w:p>
    <w:p w14:paraId="01C78DFE">
      <w:pPr>
        <w:jc w:val="center"/>
        <w:rPr>
          <w:rFonts w:eastAsia="方正小标宋_GBK"/>
          <w:sz w:val="48"/>
          <w:szCs w:val="48"/>
        </w:rPr>
      </w:pPr>
    </w:p>
    <w:p w14:paraId="547A588F">
      <w:pPr>
        <w:jc w:val="center"/>
        <w:rPr>
          <w:rFonts w:eastAsia="方正小标宋_GBK"/>
          <w:sz w:val="48"/>
          <w:szCs w:val="48"/>
        </w:rPr>
      </w:pPr>
    </w:p>
    <w:p w14:paraId="02EA64C3">
      <w:pPr>
        <w:jc w:val="center"/>
        <w:rPr>
          <w:rFonts w:eastAsia="方正小标宋_GBK"/>
          <w:sz w:val="48"/>
          <w:szCs w:val="48"/>
        </w:rPr>
      </w:pPr>
      <w:r>
        <w:rPr>
          <w:rFonts w:eastAsia="方正小标宋_GBK"/>
          <w:sz w:val="48"/>
          <w:szCs w:val="48"/>
        </w:rPr>
        <w:t>绩效自评报告</w:t>
      </w:r>
    </w:p>
    <w:p w14:paraId="5633354C">
      <w:pPr>
        <w:jc w:val="center"/>
        <w:rPr>
          <w:rFonts w:eastAsia="黑体"/>
          <w:sz w:val="32"/>
          <w:szCs w:val="32"/>
        </w:rPr>
      </w:pPr>
    </w:p>
    <w:p w14:paraId="1434CDFE">
      <w:pPr>
        <w:jc w:val="center"/>
        <w:rPr>
          <w:rFonts w:eastAsia="黑体"/>
          <w:sz w:val="32"/>
          <w:szCs w:val="32"/>
        </w:rPr>
      </w:pPr>
    </w:p>
    <w:p w14:paraId="00BA148E">
      <w:pPr>
        <w:jc w:val="center"/>
        <w:rPr>
          <w:rFonts w:eastAsia="黑体"/>
          <w:sz w:val="32"/>
          <w:szCs w:val="32"/>
        </w:rPr>
      </w:pPr>
    </w:p>
    <w:p w14:paraId="17A28F23">
      <w:pPr>
        <w:jc w:val="center"/>
        <w:rPr>
          <w:rFonts w:eastAsia="黑体"/>
          <w:sz w:val="32"/>
          <w:szCs w:val="32"/>
        </w:rPr>
      </w:pPr>
    </w:p>
    <w:p w14:paraId="70FC5B59">
      <w:pPr>
        <w:rPr>
          <w:rFonts w:eastAsia="黑体"/>
          <w:sz w:val="32"/>
          <w:szCs w:val="32"/>
        </w:rPr>
      </w:pPr>
    </w:p>
    <w:p w14:paraId="4ACC9199">
      <w:pPr>
        <w:rPr>
          <w:rFonts w:eastAsia="黑体"/>
          <w:sz w:val="32"/>
          <w:szCs w:val="32"/>
        </w:rPr>
      </w:pPr>
    </w:p>
    <w:p w14:paraId="00F36083">
      <w:pPr>
        <w:jc w:val="center"/>
        <w:rPr>
          <w:rFonts w:eastAsia="黑体"/>
          <w:sz w:val="32"/>
          <w:szCs w:val="32"/>
        </w:rPr>
      </w:pPr>
    </w:p>
    <w:p w14:paraId="1F644F43">
      <w:pPr>
        <w:ind w:firstLine="880" w:firstLineChars="200"/>
        <w:jc w:val="center"/>
        <w:rPr>
          <w:rFonts w:eastAsia="黑体"/>
          <w:sz w:val="44"/>
          <w:szCs w:val="44"/>
        </w:rPr>
      </w:pPr>
    </w:p>
    <w:p w14:paraId="69922699">
      <w:pPr>
        <w:ind w:firstLine="880" w:firstLineChars="200"/>
        <w:jc w:val="center"/>
        <w:rPr>
          <w:rFonts w:eastAsia="黑体"/>
          <w:sz w:val="44"/>
          <w:szCs w:val="44"/>
        </w:rPr>
      </w:pPr>
    </w:p>
    <w:p w14:paraId="25ECA7BD">
      <w:pPr>
        <w:ind w:firstLine="880" w:firstLineChars="200"/>
        <w:jc w:val="center"/>
        <w:rPr>
          <w:rFonts w:eastAsia="黑体"/>
          <w:sz w:val="44"/>
          <w:szCs w:val="44"/>
        </w:rPr>
      </w:pPr>
    </w:p>
    <w:p w14:paraId="7B9AB0AC">
      <w:pPr>
        <w:jc w:val="center"/>
        <w:rPr>
          <w:rFonts w:eastAsia="黑体"/>
          <w:sz w:val="36"/>
          <w:szCs w:val="36"/>
        </w:rPr>
      </w:pPr>
      <w:r>
        <w:rPr>
          <w:rFonts w:eastAsia="黑体"/>
          <w:sz w:val="36"/>
          <w:szCs w:val="36"/>
        </w:rPr>
        <w:t>单位名称（盖章）：</w:t>
      </w:r>
      <w:r>
        <w:rPr>
          <w:rFonts w:hint="eastAsia" w:eastAsia="黑体"/>
          <w:sz w:val="36"/>
          <w:szCs w:val="36"/>
        </w:rPr>
        <w:t>江永县千家峒瑶族乡中心幼儿园</w:t>
      </w:r>
    </w:p>
    <w:p w14:paraId="1A435BAB">
      <w:pPr>
        <w:spacing w:line="600" w:lineRule="exact"/>
        <w:ind w:firstLine="640" w:firstLineChars="200"/>
        <w:rPr>
          <w:rFonts w:eastAsia="仿宋_GB2312"/>
          <w:sz w:val="32"/>
          <w:szCs w:val="32"/>
        </w:rPr>
      </w:pPr>
    </w:p>
    <w:p w14:paraId="4E581119">
      <w:pPr>
        <w:widowControl/>
        <w:jc w:val="center"/>
        <w:rPr>
          <w:rFonts w:hint="eastAsia" w:ascii="仿宋" w:hAnsi="仿宋" w:eastAsia="仿宋" w:cs="方正小标宋_GBK"/>
          <w:b/>
          <w:sz w:val="44"/>
          <w:szCs w:val="44"/>
        </w:rPr>
      </w:pPr>
    </w:p>
    <w:p w14:paraId="43ABFDCC">
      <w:pPr>
        <w:widowControl/>
        <w:jc w:val="center"/>
        <w:rPr>
          <w:rFonts w:ascii="仿宋" w:hAnsi="仿宋" w:eastAsia="仿宋"/>
          <w:b/>
          <w:sz w:val="32"/>
          <w:szCs w:val="32"/>
        </w:rPr>
      </w:pPr>
      <w:r>
        <w:rPr>
          <w:rFonts w:hint="eastAsia" w:ascii="仿宋" w:hAnsi="仿宋" w:eastAsia="仿宋" w:cs="方正小标宋_GBK"/>
          <w:b/>
          <w:sz w:val="44"/>
          <w:szCs w:val="44"/>
        </w:rPr>
        <w:t>2023年度江永县千家峒瑶族乡中心幼儿园整体支出</w:t>
      </w:r>
    </w:p>
    <w:p w14:paraId="6842DDE1">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14:paraId="4DD7BEC3">
      <w:pPr>
        <w:spacing w:line="600" w:lineRule="exact"/>
        <w:ind w:firstLine="640" w:firstLineChars="200"/>
        <w:rPr>
          <w:rFonts w:ascii="仿宋" w:hAnsi="仿宋" w:eastAsia="仿宋" w:cs="楷体"/>
          <w:sz w:val="32"/>
          <w:szCs w:val="32"/>
        </w:rPr>
      </w:pPr>
      <w:r>
        <w:rPr>
          <w:rFonts w:hint="eastAsia" w:ascii="仿宋" w:hAnsi="仿宋" w:eastAsia="仿宋" w:cs="楷体"/>
          <w:sz w:val="32"/>
          <w:szCs w:val="32"/>
        </w:rPr>
        <w:t>（一）单位基本情况</w:t>
      </w:r>
    </w:p>
    <w:p w14:paraId="65BD8CD9">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千家峒瑶族乡中心幼儿园占地面积约680m</w:t>
      </w:r>
      <w:r>
        <w:rPr>
          <w:rFonts w:hint="eastAsia" w:ascii="仿宋" w:hAnsi="方正仿宋_GB2312" w:eastAsia="方正仿宋_GB2312" w:cs="方正仿宋_GB2312"/>
          <w:sz w:val="32"/>
          <w:szCs w:val="32"/>
          <w:vertAlign w:val="superscript"/>
        </w:rPr>
        <w:t>2</w:t>
      </w:r>
      <w:r>
        <w:rPr>
          <w:rFonts w:hint="eastAsia" w:ascii="仿宋" w:hAnsi="仿宋" w:eastAsia="仿宋" w:cs="方正仿宋_GB2312"/>
          <w:sz w:val="32"/>
          <w:szCs w:val="32"/>
        </w:rPr>
        <w:t>，建筑面积约330 m</w:t>
      </w:r>
      <w:r>
        <w:rPr>
          <w:rFonts w:hint="eastAsia" w:ascii="仿宋" w:hAnsi="方正仿宋_GB2312" w:eastAsia="方正仿宋_GB2312" w:cs="方正仿宋_GB2312"/>
          <w:sz w:val="32"/>
          <w:szCs w:val="32"/>
          <w:vertAlign w:val="superscript"/>
        </w:rPr>
        <w:t>2</w:t>
      </w:r>
      <w:r>
        <w:rPr>
          <w:rFonts w:hint="eastAsia" w:ascii="仿宋" w:hAnsi="仿宋" w:eastAsia="仿宋" w:cs="方正仿宋_GB2312"/>
          <w:sz w:val="32"/>
          <w:szCs w:val="32"/>
        </w:rPr>
        <w:t>，是一栋由老教学楼改造而来的，整体充满着古着而又质朴的气息。由于考虑到上下楼梯存在的安全隐患，所以将幼儿日常的活动室都放在了一楼。全园共有两个活动室、两个寝室、一个图书室、一个区域活动室、两个卫生间、一个保健室、一个隔离室、两个仓库放杂物，一个办公室还有一个面积大概为300m</w:t>
      </w:r>
      <w:r>
        <w:rPr>
          <w:rFonts w:hint="eastAsia" w:ascii="仿宋" w:hAnsi="方正仿宋_GB2312" w:eastAsia="方正仿宋_GB2312" w:cs="方正仿宋_GB2312"/>
          <w:sz w:val="32"/>
          <w:szCs w:val="32"/>
          <w:vertAlign w:val="superscript"/>
        </w:rPr>
        <w:t>2</w:t>
      </w:r>
      <w:r>
        <w:rPr>
          <w:rFonts w:hint="eastAsia" w:ascii="仿宋" w:hAnsi="仿宋" w:eastAsia="仿宋" w:cs="方正仿宋_GB2312"/>
          <w:sz w:val="32"/>
          <w:szCs w:val="32"/>
        </w:rPr>
        <w:t>的户外场地。</w:t>
      </w:r>
    </w:p>
    <w:p w14:paraId="40DD3545">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本园办园宗旨：育之以爱，教之以情；轻松学习，健康成长。</w:t>
      </w:r>
    </w:p>
    <w:p w14:paraId="5C334F90">
      <w:pPr>
        <w:spacing w:line="600" w:lineRule="exact"/>
        <w:ind w:firstLine="640" w:firstLineChars="200"/>
        <w:rPr>
          <w:rFonts w:ascii="仿宋" w:hAnsi="仿宋" w:eastAsia="仿宋" w:cs="楷体"/>
          <w:sz w:val="32"/>
          <w:szCs w:val="32"/>
        </w:rPr>
      </w:pPr>
      <w:r>
        <w:rPr>
          <w:rFonts w:hint="eastAsia" w:ascii="仿宋" w:hAnsi="仿宋" w:eastAsia="仿宋" w:cs="楷体"/>
          <w:sz w:val="32"/>
          <w:szCs w:val="32"/>
        </w:rPr>
        <w:t>（二）项目绩效目标</w:t>
      </w:r>
    </w:p>
    <w:p w14:paraId="787D5FAA">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贯彻执行国家教育方针政策，深化教育改革，稳步提高教育质量，巩固学前教育五大领域的成功，促进教育失业的发展，保障人员经费，提高教师队伍的幸福感，管好永华预算内资金，改善和优化幼儿园的办园条件，促进幼儿的全面发展，把教育教学质量放在首位，办人民满意的教育。</w:t>
      </w:r>
    </w:p>
    <w:p w14:paraId="5E8DBE30">
      <w:pPr>
        <w:spacing w:line="600" w:lineRule="exact"/>
        <w:ind w:firstLine="643" w:firstLineChars="200"/>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1.2023年度整体支出绩效目标</w:t>
      </w:r>
    </w:p>
    <w:p w14:paraId="31D8CA01">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我园严格按照部门绩效考核的指标开展工作、做到预决 算公开，在公示栏进行公示，并接受全体教职工、家长的监 督；做到经费管理有制度、实施有计划。建立健全资金分配 规程和各项财务管理制度，做好年度教职工履职履责考核， 完善奖惩考核机制。在存量资金管理、资产管理、三公经费控制、内部管理制度建设等方面的设定及完成情况均为100%。财政资金按预算专款专用，预算完成率尽量达到100%。</w:t>
      </w:r>
    </w:p>
    <w:p w14:paraId="19F3AAA3">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固定资产管理严格报废程序，管好、用好资产，固定资产使用率100%。</w:t>
      </w:r>
    </w:p>
    <w:p w14:paraId="651C7296">
      <w:pPr>
        <w:spacing w:line="600" w:lineRule="exact"/>
        <w:ind w:firstLine="643" w:firstLineChars="200"/>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2.2023年度项目支出绩效目标</w:t>
      </w:r>
    </w:p>
    <w:p w14:paraId="7988F22E">
      <w:pPr>
        <w:spacing w:line="600" w:lineRule="exact"/>
        <w:ind w:firstLine="640" w:firstLineChars="200"/>
        <w:rPr>
          <w:rFonts w:ascii="方正仿宋_GB2312" w:hAnsi="方正仿宋_GB2312" w:eastAsia="方正仿宋_GB2312" w:cs="方正仿宋_GB2312"/>
          <w:sz w:val="32"/>
          <w:szCs w:val="32"/>
        </w:rPr>
      </w:pPr>
      <w:r>
        <w:rPr>
          <w:rFonts w:hint="eastAsia" w:ascii="仿宋" w:hAnsi="仿宋" w:eastAsia="仿宋" w:cs="方正仿宋_GB2312"/>
          <w:sz w:val="32"/>
          <w:szCs w:val="32"/>
        </w:rPr>
        <w:t>通过江永县千家峒瑶族乡中心幼儿园项目支出项目的实 施，充分发挥资金经济性、效率性和效益性，贯彻落实党和国家的教育方针政策、法律法规，全面实施素质教育，努力提高教育教学质量，稳步推进全县教育事业持续健康协调发展</w:t>
      </w:r>
      <w:r>
        <w:rPr>
          <w:rFonts w:hint="eastAsia" w:ascii="方正仿宋_GB2312" w:hAnsi="方正仿宋_GB2312" w:eastAsia="方正仿宋_GB2312" w:cs="方正仿宋_GB2312"/>
          <w:sz w:val="32"/>
          <w:szCs w:val="32"/>
        </w:rPr>
        <w:t>。</w:t>
      </w:r>
    </w:p>
    <w:p w14:paraId="637596E2">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二、一般公共预算支出情况</w:t>
      </w:r>
    </w:p>
    <w:p w14:paraId="06ABAEB7">
      <w:pPr>
        <w:spacing w:line="600" w:lineRule="exact"/>
        <w:ind w:firstLine="640" w:firstLineChars="200"/>
        <w:rPr>
          <w:rFonts w:ascii="楷体" w:hAnsi="楷体" w:eastAsia="楷体" w:cs="楷体"/>
          <w:sz w:val="32"/>
          <w:szCs w:val="32"/>
        </w:rPr>
      </w:pPr>
      <w:r>
        <w:rPr>
          <w:rFonts w:hint="eastAsia" w:ascii="楷体" w:hAnsi="楷体" w:eastAsia="楷体" w:cs="楷体"/>
          <w:sz w:val="32"/>
          <w:szCs w:val="32"/>
        </w:rPr>
        <w:t>（一）基本支出情况</w:t>
      </w:r>
    </w:p>
    <w:p w14:paraId="68A1FE56">
      <w:pPr>
        <w:spacing w:line="60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江永县千家峒瑶族乡中心幼儿园基本支出资金</w:t>
      </w:r>
      <w:r>
        <w:rPr>
          <w:rFonts w:hint="eastAsia" w:ascii="方正仿宋_GB2312" w:hAnsi="方正仿宋_GB2312" w:eastAsia="方正仿宋_GB2312" w:cs="方正仿宋_GB2312"/>
          <w:sz w:val="32"/>
          <w:szCs w:val="32"/>
          <w:lang w:val="en-US" w:eastAsia="zh-CN"/>
        </w:rPr>
        <w:t>64.3637</w:t>
      </w:r>
      <w:r>
        <w:rPr>
          <w:rFonts w:hint="eastAsia" w:ascii="方正仿宋_GB2312" w:hAnsi="方正仿宋_GB2312" w:eastAsia="方正仿宋_GB2312" w:cs="方正仿宋_GB2312"/>
          <w:sz w:val="32"/>
          <w:szCs w:val="32"/>
        </w:rPr>
        <w:t>万元，其中：工资福利支出</w:t>
      </w:r>
      <w:r>
        <w:rPr>
          <w:rFonts w:hint="eastAsia" w:ascii="方正仿宋_GB2312" w:hAnsi="方正仿宋_GB2312" w:eastAsia="方正仿宋_GB2312" w:cs="方正仿宋_GB2312"/>
          <w:sz w:val="32"/>
          <w:szCs w:val="32"/>
          <w:lang w:val="en-US" w:eastAsia="zh-CN"/>
        </w:rPr>
        <w:t>46.9807</w:t>
      </w:r>
      <w:r>
        <w:rPr>
          <w:rFonts w:hint="eastAsia" w:ascii="方正仿宋_GB2312" w:hAnsi="方正仿宋_GB2312" w:eastAsia="方正仿宋_GB2312" w:cs="方正仿宋_GB2312"/>
          <w:sz w:val="32"/>
          <w:szCs w:val="32"/>
        </w:rPr>
        <w:t>万元，公用经费支出</w:t>
      </w:r>
      <w:r>
        <w:rPr>
          <w:rFonts w:hint="eastAsia" w:ascii="方正仿宋_GB2312" w:hAnsi="方正仿宋_GB2312" w:eastAsia="方正仿宋_GB2312" w:cs="方正仿宋_GB2312"/>
          <w:sz w:val="32"/>
          <w:szCs w:val="32"/>
          <w:lang w:val="en-US" w:eastAsia="zh-CN"/>
        </w:rPr>
        <w:t>17.383</w:t>
      </w:r>
      <w:r>
        <w:rPr>
          <w:rFonts w:hint="eastAsia" w:ascii="方正仿宋_GB2312" w:hAnsi="方正仿宋_GB2312" w:eastAsia="方正仿宋_GB2312" w:cs="方正仿宋_GB2312"/>
          <w:sz w:val="32"/>
          <w:szCs w:val="32"/>
        </w:rPr>
        <w:t>万元。</w:t>
      </w:r>
    </w:p>
    <w:p w14:paraId="31AA0156">
      <w:pPr>
        <w:spacing w:line="600" w:lineRule="exact"/>
        <w:ind w:firstLine="640" w:firstLineChars="200"/>
        <w:rPr>
          <w:rFonts w:ascii="楷体" w:hAnsi="楷体" w:eastAsia="楷体" w:cs="楷体"/>
          <w:sz w:val="32"/>
          <w:szCs w:val="32"/>
        </w:rPr>
      </w:pPr>
      <w:r>
        <w:rPr>
          <w:rFonts w:hint="eastAsia" w:ascii="楷体" w:hAnsi="楷体" w:eastAsia="楷体" w:cs="楷体"/>
          <w:sz w:val="32"/>
          <w:szCs w:val="32"/>
        </w:rPr>
        <w:t>（二）项目支出情况</w:t>
      </w:r>
    </w:p>
    <w:p w14:paraId="6D76D04E">
      <w:pPr>
        <w:spacing w:line="600" w:lineRule="exact"/>
        <w:ind w:firstLine="640" w:firstLineChars="200"/>
        <w:rPr>
          <w:rFonts w:ascii="仿宋" w:hAnsi="仿宋" w:eastAsia="仿宋" w:cs="方正仿宋_GB2312"/>
          <w:sz w:val="32"/>
          <w:szCs w:val="32"/>
        </w:rPr>
      </w:pPr>
      <w:r>
        <w:rPr>
          <w:rFonts w:hint="eastAsia" w:ascii="方正仿宋_GB2312" w:hAnsi="方正仿宋_GB2312" w:eastAsia="方正仿宋_GB2312" w:cs="方正仿宋_GB2312"/>
          <w:sz w:val="32"/>
          <w:szCs w:val="32"/>
        </w:rPr>
        <w:t>江永县千家峒瑶族乡中心幼儿园项目支出资金</w:t>
      </w:r>
      <w:r>
        <w:rPr>
          <w:rFonts w:hint="eastAsia" w:ascii="方正仿宋_GB2312" w:hAnsi="方正仿宋_GB2312" w:eastAsia="方正仿宋_GB2312" w:cs="方正仿宋_GB2312"/>
          <w:sz w:val="32"/>
          <w:szCs w:val="32"/>
          <w:lang w:val="en-US" w:eastAsia="zh-CN"/>
        </w:rPr>
        <w:t>166.6956</w:t>
      </w:r>
      <w:r>
        <w:rPr>
          <w:rFonts w:hint="eastAsia" w:ascii="方正仿宋_GB2312" w:hAnsi="方正仿宋_GB2312" w:eastAsia="方正仿宋_GB2312" w:cs="方正仿宋_GB2312"/>
          <w:sz w:val="32"/>
          <w:szCs w:val="32"/>
        </w:rPr>
        <w:t>万元。</w:t>
      </w:r>
      <w:r>
        <w:rPr>
          <w:rFonts w:hint="eastAsia" w:ascii="仿宋" w:hAnsi="仿宋" w:eastAsia="仿宋" w:cs="方正仿宋_GB2312"/>
          <w:sz w:val="32"/>
          <w:szCs w:val="32"/>
        </w:rPr>
        <w:t>用于新园工程项目建设。</w:t>
      </w:r>
    </w:p>
    <w:p w14:paraId="1971B964">
      <w:pPr>
        <w:spacing w:line="600" w:lineRule="exact"/>
        <w:ind w:firstLine="640" w:firstLineChars="200"/>
        <w:rPr>
          <w:rFonts w:ascii="方正仿宋_GB2312" w:hAnsi="方正仿宋_GB2312" w:eastAsia="方正仿宋_GB2312" w:cs="方正仿宋_GB2312"/>
          <w:sz w:val="32"/>
          <w:szCs w:val="32"/>
        </w:rPr>
      </w:pPr>
      <w:r>
        <w:rPr>
          <w:rFonts w:hint="eastAsia" w:ascii="黑体" w:hAnsi="黑体" w:eastAsia="黑体" w:cs="黑体"/>
          <w:sz w:val="32"/>
          <w:szCs w:val="32"/>
        </w:rPr>
        <w:t>三、政府性基金预算支出情况</w:t>
      </w:r>
    </w:p>
    <w:p w14:paraId="5ABD663C">
      <w:pPr>
        <w:spacing w:line="600" w:lineRule="exact"/>
        <w:ind w:firstLine="643" w:firstLineChars="200"/>
        <w:rPr>
          <w:rFonts w:ascii="方正仿宋_GB2312" w:hAnsi="方正仿宋_GB2312" w:eastAsia="方正仿宋_GB2312" w:cs="方正仿宋_GB2312"/>
          <w:b/>
          <w:bCs/>
          <w:sz w:val="32"/>
          <w:szCs w:val="32"/>
        </w:rPr>
      </w:pPr>
      <w:r>
        <w:rPr>
          <w:rFonts w:hint="eastAsia" w:ascii="仿宋" w:hAnsi="仿宋" w:eastAsia="仿宋" w:cs="方正仿宋_GB2312"/>
          <w:b/>
          <w:bCs/>
          <w:sz w:val="32"/>
          <w:szCs w:val="32"/>
        </w:rPr>
        <w:t>江永县千家峒瑶族乡中心幼儿园无政府性基金预算支出情况</w:t>
      </w:r>
      <w:r>
        <w:rPr>
          <w:rFonts w:hint="eastAsia" w:ascii="方正仿宋_GB2312" w:hAnsi="方正仿宋_GB2312" w:eastAsia="方正仿宋_GB2312" w:cs="方正仿宋_GB2312"/>
          <w:b/>
          <w:bCs/>
          <w:sz w:val="32"/>
          <w:szCs w:val="32"/>
        </w:rPr>
        <w:t>。</w:t>
      </w:r>
    </w:p>
    <w:p w14:paraId="132B56B9">
      <w:pPr>
        <w:spacing w:line="600" w:lineRule="exact"/>
        <w:ind w:firstLine="640" w:firstLineChars="200"/>
        <w:rPr>
          <w:rFonts w:ascii="方正仿宋_GB2312" w:hAnsi="方正仿宋_GB2312" w:eastAsia="方正仿宋_GB2312" w:cs="方正仿宋_GB2312"/>
          <w:sz w:val="32"/>
          <w:szCs w:val="32"/>
        </w:rPr>
      </w:pPr>
      <w:r>
        <w:rPr>
          <w:rFonts w:hint="eastAsia" w:ascii="黑体" w:hAnsi="黑体" w:eastAsia="黑体" w:cs="黑体"/>
          <w:sz w:val="32"/>
          <w:szCs w:val="32"/>
        </w:rPr>
        <w:t>四、国有资本经营预算支出情况</w:t>
      </w:r>
    </w:p>
    <w:p w14:paraId="5928BFCA">
      <w:pPr>
        <w:spacing w:line="600" w:lineRule="exact"/>
        <w:ind w:firstLine="643" w:firstLineChars="200"/>
        <w:rPr>
          <w:rFonts w:ascii="仿宋" w:hAnsi="仿宋" w:eastAsia="仿宋" w:cs="方正仿宋_GB2312"/>
          <w:sz w:val="32"/>
          <w:szCs w:val="32"/>
        </w:rPr>
      </w:pPr>
      <w:r>
        <w:rPr>
          <w:rFonts w:hint="eastAsia" w:ascii="仿宋" w:hAnsi="仿宋" w:eastAsia="仿宋" w:cs="方正仿宋_GB2312"/>
          <w:b/>
          <w:bCs/>
          <w:sz w:val="32"/>
          <w:szCs w:val="32"/>
        </w:rPr>
        <w:t>江永县千家峒瑶族乡中心幼儿园无国有资本经营预算支出情况。</w:t>
      </w:r>
    </w:p>
    <w:p w14:paraId="76AD8002">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五、社会保险基金预算支出情况</w:t>
      </w:r>
    </w:p>
    <w:p w14:paraId="522F7033">
      <w:pPr>
        <w:spacing w:line="600" w:lineRule="exact"/>
        <w:ind w:firstLine="643" w:firstLineChars="200"/>
        <w:rPr>
          <w:rFonts w:ascii="仿宋" w:hAnsi="仿宋" w:eastAsia="仿宋" w:cs="方正仿宋_GB2312"/>
          <w:sz w:val="32"/>
          <w:szCs w:val="32"/>
        </w:rPr>
      </w:pPr>
      <w:r>
        <w:rPr>
          <w:rFonts w:hint="eastAsia" w:ascii="仿宋" w:hAnsi="仿宋" w:eastAsia="仿宋" w:cs="方正仿宋_GB2312"/>
          <w:b/>
          <w:bCs/>
          <w:sz w:val="32"/>
          <w:szCs w:val="32"/>
        </w:rPr>
        <w:t>江永县千家峒瑶族乡中心幼儿园无社会保险基金预算支出情况。</w:t>
      </w:r>
    </w:p>
    <w:p w14:paraId="43934A12">
      <w:pPr>
        <w:spacing w:line="600" w:lineRule="exact"/>
        <w:ind w:firstLine="640" w:firstLineChars="200"/>
        <w:rPr>
          <w:rFonts w:ascii="方正仿宋_GB2312" w:hAnsi="方正仿宋_GB2312" w:eastAsia="方正仿宋_GB2312" w:cs="方正仿宋_GB2312"/>
          <w:sz w:val="32"/>
          <w:szCs w:val="32"/>
        </w:rPr>
      </w:pPr>
      <w:r>
        <w:rPr>
          <w:rFonts w:hint="eastAsia" w:ascii="黑体" w:hAnsi="黑体" w:eastAsia="黑体" w:cs="黑体"/>
          <w:sz w:val="32"/>
          <w:szCs w:val="32"/>
        </w:rPr>
        <w:t>六、部门整体支出绩效情况</w:t>
      </w:r>
    </w:p>
    <w:p w14:paraId="6BCC2375">
      <w:pPr>
        <w:spacing w:line="60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在过去</w:t>
      </w:r>
      <w:r>
        <w:rPr>
          <w:rFonts w:hint="eastAsia" w:ascii="宋体" w:hAnsi="宋体" w:cs="宋体"/>
          <w:sz w:val="32"/>
          <w:szCs w:val="32"/>
        </w:rPr>
        <w:t>一</w:t>
      </w:r>
      <w:r>
        <w:rPr>
          <w:rFonts w:hint="eastAsia" w:ascii="方正仿宋_GB2312" w:hAnsi="方正仿宋_GB2312" w:eastAsia="方正仿宋_GB2312" w:cs="方正仿宋_GB2312"/>
          <w:sz w:val="32"/>
          <w:szCs w:val="32"/>
        </w:rPr>
        <w:t>年中，我们购置了笔记本电脑设备、幼儿游戏设备等一批教学设备。这些设备的购置标准严格按照国家相关规定，能够有效提升教学质量和效果。经过使用情况的观察和师生满意度调查，我们发现这些设备的使用率高，对幼儿的学习积极性和兴趣激发起到了积极的促进作用。</w:t>
      </w:r>
    </w:p>
    <w:p w14:paraId="3965E1F6">
      <w:pPr>
        <w:spacing w:line="600" w:lineRule="exact"/>
        <w:ind w:firstLine="640" w:firstLineChars="200"/>
        <w:rPr>
          <w:rFonts w:ascii="仿宋" w:hAnsi="仿宋" w:eastAsia="仿宋" w:cs="楷体"/>
          <w:sz w:val="32"/>
          <w:szCs w:val="32"/>
        </w:rPr>
      </w:pPr>
      <w:r>
        <w:rPr>
          <w:rFonts w:hint="eastAsia" w:ascii="仿宋" w:hAnsi="仿宋" w:eastAsia="仿宋" w:cs="楷体"/>
          <w:sz w:val="32"/>
          <w:szCs w:val="32"/>
        </w:rPr>
        <w:t>(一)绩效评价的目的</w:t>
      </w:r>
    </w:p>
    <w:p w14:paraId="08AAB934">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通过绩效评价，能更具体了解江永县千家峒瑶族乡中心幼儿园整体部门支出资金投入、分配和使用情况，资金管理制度、措施制定和实施情况，资金使用效果和资金项目目标实现情况。有利于总结经验，发现问题，及时改进。进一步加强我园整体部门支出资金管理，提升教职工和学生家长的幸福指数，打造一个学生满意、家长满意、社会满意的幼儿园。实现资金使用效益最大化，提高政府管理效能和财政资金使用效益，切实保证财政资金安全。</w:t>
      </w:r>
    </w:p>
    <w:p w14:paraId="0BC0A37A">
      <w:pPr>
        <w:spacing w:line="600" w:lineRule="exact"/>
        <w:ind w:firstLine="640" w:firstLineChars="200"/>
        <w:rPr>
          <w:rFonts w:ascii="仿宋" w:hAnsi="仿宋" w:eastAsia="仿宋" w:cs="楷体"/>
          <w:sz w:val="32"/>
          <w:szCs w:val="32"/>
        </w:rPr>
      </w:pPr>
      <w:r>
        <w:rPr>
          <w:rFonts w:hint="eastAsia" w:ascii="仿宋" w:hAnsi="仿宋" w:eastAsia="仿宋" w:cs="楷体"/>
          <w:sz w:val="32"/>
          <w:szCs w:val="32"/>
        </w:rPr>
        <w:t>(二)绩效评价原则、评价指标体系、评价方法</w:t>
      </w:r>
    </w:p>
    <w:p w14:paraId="075E47C9">
      <w:pPr>
        <w:tabs>
          <w:tab w:val="left" w:pos="1890"/>
        </w:tabs>
        <w:spacing w:line="600" w:lineRule="exact"/>
        <w:ind w:firstLine="643" w:firstLineChars="200"/>
        <w:rPr>
          <w:rFonts w:ascii="仿宋" w:hAnsi="仿宋" w:eastAsia="仿宋" w:cs="方正仿宋_GB2312"/>
          <w:sz w:val="32"/>
          <w:szCs w:val="32"/>
        </w:rPr>
      </w:pPr>
      <w:r>
        <w:rPr>
          <w:rFonts w:hint="eastAsia" w:ascii="仿宋" w:hAnsi="仿宋" w:eastAsia="仿宋" w:cs="方正仿宋_GB2312"/>
          <w:b/>
          <w:bCs/>
          <w:sz w:val="32"/>
          <w:szCs w:val="32"/>
        </w:rPr>
        <w:t>1.评价原则：</w:t>
      </w:r>
      <w:r>
        <w:rPr>
          <w:rFonts w:hint="eastAsia" w:ascii="仿宋" w:hAnsi="仿宋" w:eastAsia="仿宋" w:cs="方正仿宋_GB2312"/>
          <w:sz w:val="32"/>
          <w:szCs w:val="32"/>
        </w:rPr>
        <w:t>我们遵循“科学性、规范性、客观性和公正性”的原则，以《江永县预算支出绩效评价管理办法》(江</w:t>
      </w:r>
    </w:p>
    <w:p w14:paraId="3FDF6738">
      <w:pPr>
        <w:spacing w:line="600" w:lineRule="exact"/>
        <w:rPr>
          <w:rFonts w:ascii="仿宋" w:hAnsi="仿宋" w:eastAsia="仿宋" w:cs="方正仿宋_GB2312"/>
          <w:sz w:val="32"/>
          <w:szCs w:val="32"/>
        </w:rPr>
      </w:pPr>
      <w:r>
        <w:rPr>
          <w:rFonts w:hint="eastAsia" w:ascii="仿宋" w:hAnsi="仿宋" w:eastAsia="仿宋" w:cs="方正仿宋_GB2312"/>
          <w:sz w:val="32"/>
          <w:szCs w:val="32"/>
        </w:rPr>
        <w:t>永财发〔2024〕3号)、《江永县县级预算部门绩效自评操 作规程》(江永财发(2023)39 号)文件精神，以及中央、 省有关预算绩效管理的政策规定、财务会计制度等为指导， 由点到面、稳步推进，对我园整体部门支出资金的管理及产生生态、经济和社会效益进行自我评价。</w:t>
      </w:r>
    </w:p>
    <w:p w14:paraId="67A17100">
      <w:pPr>
        <w:spacing w:line="600" w:lineRule="exact"/>
        <w:ind w:firstLine="643" w:firstLineChars="200"/>
        <w:rPr>
          <w:rFonts w:ascii="仿宋" w:hAnsi="仿宋" w:eastAsia="仿宋" w:cs="方正仿宋_GB2312"/>
          <w:sz w:val="32"/>
          <w:szCs w:val="32"/>
        </w:rPr>
      </w:pPr>
      <w:r>
        <w:rPr>
          <w:rFonts w:hint="eastAsia" w:ascii="仿宋" w:hAnsi="仿宋" w:eastAsia="仿宋" w:cs="方正仿宋_GB2312"/>
          <w:b/>
          <w:bCs/>
          <w:sz w:val="32"/>
          <w:szCs w:val="32"/>
        </w:rPr>
        <w:t>2.评价指标体系：</w:t>
      </w:r>
      <w:r>
        <w:rPr>
          <w:rFonts w:hint="eastAsia" w:ascii="仿宋" w:hAnsi="仿宋" w:eastAsia="仿宋" w:cs="方正仿宋_GB2312"/>
          <w:sz w:val="32"/>
          <w:szCs w:val="32"/>
        </w:rPr>
        <w:t>设投入、过程、产出及效率3个一级 指标、下分5个二级指标和17个三级指标，按照评价指标设定评价内容，分值为93分。  (详见评价指标体系评分表)</w:t>
      </w:r>
    </w:p>
    <w:p w14:paraId="34976935">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我们充分利用专项经费开展了师生培训及进修活动。通过参加国培、线上线下的一个培训，来提升教师的自我修养。同时提高了教师的专业素养和教学水平。我们也为有需要的老师提供了相关的学习机会，进一步提高了教师的教育教学能力和教学效果。师生培训及进修活动的实施成效得到了师生的一致好评，同时也有效地提升了幼儿园的整体绩效。</w:t>
      </w:r>
    </w:p>
    <w:p w14:paraId="5EF5663B">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我们通过专项经费进行了教学环境的改造。在过去一年中，我们对教学楼进行了日常维修、增设户外器械设施、装修等一系列工作，以提供更优质的教学环境。观察和学生反馈显示，改造后的教学环境更加舒适、明亮、美观，对幼儿的学习积极性和兴趣起到了积极的促进作用。</w:t>
      </w:r>
    </w:p>
    <w:p w14:paraId="396AAFDD">
      <w:pPr>
        <w:spacing w:line="600" w:lineRule="exact"/>
        <w:ind w:firstLine="640" w:firstLineChars="200"/>
        <w:rPr>
          <w:rFonts w:ascii="仿宋" w:hAnsi="仿宋" w:eastAsia="仿宋" w:cs="楷体"/>
          <w:sz w:val="32"/>
          <w:szCs w:val="32"/>
        </w:rPr>
      </w:pPr>
      <w:r>
        <w:rPr>
          <w:rFonts w:hint="eastAsia" w:ascii="仿宋" w:hAnsi="仿宋" w:eastAsia="仿宋" w:cs="楷体"/>
          <w:sz w:val="32"/>
          <w:szCs w:val="32"/>
        </w:rPr>
        <w:t>(三)评价结果</w:t>
      </w:r>
    </w:p>
    <w:p w14:paraId="047DC049">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在资金使用和管理方面，进一步强化资金统筹，优化资 金结构，明确开支范围，细化资金用途，确保部门职责任务 顺利完成。全年基本支出保证了部门的正常运行和日常工作 的正常开展，达到预期绩效目标。职责履行良好方面，履职 效益明显方面。社会公众或服务对象满意度均为满意。预算配置科学方面。预算安排优先保障工资发放、社保缴费，再安排公用经费支出等。预算执行有效方面。项目实施主体明确，保障措施有力，资金安排严格按照预算进度进行结算和 支付，财务管理规范。管理制度较为完善、措施可行，完成了各项绩效指标，各项支出对促进我园履职绩效目标发挥了较好的作用。</w:t>
      </w:r>
    </w:p>
    <w:p w14:paraId="299DE701">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七、存在的问题及原因分析</w:t>
      </w:r>
    </w:p>
    <w:p w14:paraId="618FEF03">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资金拨付流程较为复杂，下达时间不定，需得在预算一体化系统录单再支付，实施时间跨度大，部分资金未能及时拨付到位。由于园所整体教学楼过于老化，设备设施不够先进，办公室的环境狭小，因此扎账的整理工作还需要继续加强。</w:t>
      </w:r>
    </w:p>
    <w:p w14:paraId="5AD40629">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八、下一步改进措施</w:t>
      </w:r>
    </w:p>
    <w:p w14:paraId="0E6613F7">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继续完善绩效管理财务制度，严格按照相关财务制度实 行。加强绩效评价以及资金管理，按照流程规范办理项目的拨付，提高教育经费的使用效益。</w:t>
      </w:r>
    </w:p>
    <w:p w14:paraId="08F666B9">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九、绩效自评结果拟应用和公开情况</w:t>
      </w:r>
    </w:p>
    <w:p w14:paraId="7F507A33">
      <w:pPr>
        <w:spacing w:line="600" w:lineRule="exact"/>
        <w:ind w:firstLine="640" w:firstLineChars="200"/>
        <w:rPr>
          <w:rFonts w:ascii="仿宋" w:hAnsi="仿宋" w:eastAsia="仿宋" w:cs="方正仿宋_GB2312"/>
          <w:sz w:val="32"/>
          <w:szCs w:val="32"/>
        </w:rPr>
      </w:pPr>
      <w:r>
        <w:rPr>
          <w:rFonts w:hint="eastAsia" w:ascii="仿宋" w:hAnsi="仿宋" w:eastAsia="仿宋" w:cs="方正仿宋_GB2312"/>
          <w:sz w:val="32"/>
          <w:szCs w:val="32"/>
        </w:rPr>
        <w:t>从绩效自评结果来看，江永县</w:t>
      </w:r>
      <w:r>
        <w:rPr>
          <w:rFonts w:hint="eastAsia" w:ascii="仿宋" w:hAnsi="仿宋" w:eastAsia="仿宋" w:cs="方正仿宋_GB2312"/>
          <w:sz w:val="32"/>
          <w:szCs w:val="32"/>
          <w:lang w:val="en-US" w:eastAsia="zh-CN"/>
        </w:rPr>
        <w:t>千家峒瑶族乡</w:t>
      </w:r>
      <w:r>
        <w:rPr>
          <w:rFonts w:hint="eastAsia" w:ascii="仿宋" w:hAnsi="仿宋" w:eastAsia="仿宋" w:cs="方正仿宋_GB2312"/>
          <w:sz w:val="32"/>
          <w:szCs w:val="32"/>
        </w:rPr>
        <w:t>中心幼儿园部门整体支出绩效较好，有力推动了幼儿园教育事业持续健康 发展。根据预算绩效评价的有关规定，江永县</w:t>
      </w:r>
      <w:r>
        <w:rPr>
          <w:rFonts w:hint="eastAsia" w:ascii="仿宋" w:hAnsi="仿宋" w:eastAsia="仿宋" w:cs="方正仿宋_GB2312"/>
          <w:sz w:val="32"/>
          <w:szCs w:val="32"/>
          <w:lang w:val="en-US" w:eastAsia="zh-CN"/>
        </w:rPr>
        <w:t>千家峒</w:t>
      </w:r>
      <w:r>
        <w:rPr>
          <w:rFonts w:hint="eastAsia" w:ascii="仿宋" w:hAnsi="仿宋" w:eastAsia="仿宋" w:cs="方正仿宋_GB2312"/>
          <w:sz w:val="32"/>
          <w:szCs w:val="32"/>
        </w:rPr>
        <w:t>瑶族乡将在江永政府网公示绩效自评报告。</w:t>
      </w:r>
    </w:p>
    <w:p w14:paraId="458DF729">
      <w:pPr>
        <w:spacing w:line="600" w:lineRule="exact"/>
        <w:ind w:firstLine="640" w:firstLineChars="200"/>
        <w:rPr>
          <w:rFonts w:ascii="仿宋" w:hAnsi="仿宋" w:eastAsia="仿宋" w:cs="方正仿宋_GB2312"/>
          <w:color w:val="000000"/>
          <w:sz w:val="32"/>
          <w:szCs w:val="32"/>
        </w:rPr>
      </w:pPr>
    </w:p>
    <w:p w14:paraId="1AAF27EE">
      <w:pPr>
        <w:spacing w:line="600" w:lineRule="exact"/>
        <w:ind w:firstLine="640" w:firstLineChars="200"/>
        <w:rPr>
          <w:rFonts w:ascii="仿宋" w:hAnsi="仿宋" w:eastAsia="仿宋" w:cs="方正仿宋_GB2312"/>
          <w:color w:val="000000"/>
          <w:sz w:val="32"/>
          <w:szCs w:val="32"/>
        </w:rPr>
      </w:pPr>
    </w:p>
    <w:p w14:paraId="44B3898D">
      <w:pPr>
        <w:spacing w:line="600" w:lineRule="exact"/>
        <w:ind w:firstLine="640" w:firstLineChars="200"/>
        <w:jc w:val="right"/>
        <w:rPr>
          <w:rFonts w:ascii="仿宋" w:hAnsi="仿宋" w:eastAsia="仿宋" w:cs="宋体"/>
          <w:color w:val="000000"/>
          <w:sz w:val="32"/>
          <w:szCs w:val="32"/>
        </w:rPr>
      </w:pPr>
      <w:r>
        <w:rPr>
          <w:rFonts w:hint="eastAsia" w:ascii="仿宋" w:hAnsi="仿宋" w:eastAsia="仿宋" w:cs="宋体"/>
          <w:color w:val="000000"/>
          <w:sz w:val="32"/>
          <w:szCs w:val="32"/>
        </w:rPr>
        <w:t>江永县千家峒瑶族乡中心幼儿园</w:t>
      </w:r>
    </w:p>
    <w:p w14:paraId="28F30E44">
      <w:pPr>
        <w:spacing w:line="600" w:lineRule="exact"/>
        <w:ind w:firstLine="640" w:firstLineChars="200"/>
        <w:jc w:val="right"/>
        <w:rPr>
          <w:rFonts w:hint="eastAsia" w:ascii="仿宋" w:hAnsi="仿宋" w:eastAsia="仿宋" w:cs="宋体"/>
          <w:color w:val="000000"/>
          <w:sz w:val="32"/>
          <w:szCs w:val="32"/>
        </w:rPr>
      </w:pPr>
      <w:r>
        <w:rPr>
          <w:rFonts w:hint="eastAsia" w:ascii="仿宋" w:hAnsi="仿宋" w:eastAsia="仿宋" w:cs="宋体"/>
          <w:color w:val="000000"/>
          <w:sz w:val="32"/>
          <w:szCs w:val="32"/>
        </w:rPr>
        <w:t xml:space="preserve">2024年4月18日 </w:t>
      </w:r>
    </w:p>
    <w:p w14:paraId="2E98B662">
      <w:pPr>
        <w:spacing w:line="600" w:lineRule="exact"/>
        <w:ind w:firstLine="640" w:firstLineChars="200"/>
        <w:jc w:val="right"/>
        <w:rPr>
          <w:rFonts w:hint="eastAsia" w:ascii="仿宋" w:hAnsi="仿宋" w:eastAsia="仿宋" w:cs="宋体"/>
          <w:color w:val="000000"/>
          <w:sz w:val="32"/>
          <w:szCs w:val="32"/>
        </w:rPr>
      </w:pPr>
    </w:p>
    <w:p w14:paraId="591499EF">
      <w:pPr>
        <w:spacing w:line="600" w:lineRule="exact"/>
        <w:ind w:firstLine="640" w:firstLineChars="200"/>
        <w:jc w:val="right"/>
        <w:rPr>
          <w:rFonts w:hint="eastAsia" w:ascii="仿宋" w:hAnsi="仿宋" w:eastAsia="仿宋" w:cs="宋体"/>
          <w:color w:val="000000"/>
          <w:sz w:val="32"/>
          <w:szCs w:val="32"/>
        </w:rPr>
      </w:pPr>
    </w:p>
    <w:p w14:paraId="71964D8D">
      <w:pPr>
        <w:spacing w:line="600" w:lineRule="exact"/>
        <w:ind w:firstLine="640" w:firstLineChars="200"/>
        <w:jc w:val="right"/>
        <w:rPr>
          <w:rFonts w:hint="eastAsia" w:ascii="仿宋" w:hAnsi="仿宋" w:eastAsia="仿宋" w:cs="宋体"/>
          <w:color w:val="000000"/>
          <w:sz w:val="32"/>
          <w:szCs w:val="32"/>
        </w:rPr>
      </w:pPr>
    </w:p>
    <w:p w14:paraId="6E523DF2">
      <w:pPr>
        <w:spacing w:line="600" w:lineRule="exact"/>
        <w:ind w:firstLine="640" w:firstLineChars="200"/>
        <w:jc w:val="right"/>
        <w:rPr>
          <w:rFonts w:hint="eastAsia" w:ascii="仿宋" w:hAnsi="仿宋" w:eastAsia="仿宋" w:cs="宋体"/>
          <w:color w:val="000000"/>
          <w:sz w:val="32"/>
          <w:szCs w:val="32"/>
        </w:rPr>
      </w:pPr>
    </w:p>
    <w:p w14:paraId="39E21A32">
      <w:pPr>
        <w:spacing w:line="600" w:lineRule="exact"/>
        <w:ind w:firstLine="640" w:firstLineChars="200"/>
        <w:jc w:val="right"/>
        <w:rPr>
          <w:rFonts w:hint="eastAsia" w:ascii="仿宋" w:hAnsi="仿宋" w:eastAsia="仿宋" w:cs="宋体"/>
          <w:color w:val="000000"/>
          <w:sz w:val="32"/>
          <w:szCs w:val="32"/>
        </w:rPr>
      </w:pPr>
    </w:p>
    <w:p w14:paraId="33FC5D55">
      <w:pPr>
        <w:spacing w:line="600" w:lineRule="exact"/>
        <w:ind w:firstLine="640" w:firstLineChars="200"/>
        <w:jc w:val="right"/>
        <w:rPr>
          <w:rFonts w:hint="eastAsia" w:ascii="仿宋" w:hAnsi="仿宋" w:eastAsia="仿宋" w:cs="宋体"/>
          <w:color w:val="000000"/>
          <w:sz w:val="32"/>
          <w:szCs w:val="32"/>
        </w:rPr>
      </w:pPr>
    </w:p>
    <w:p w14:paraId="0300096F">
      <w:pPr>
        <w:spacing w:line="600" w:lineRule="exact"/>
        <w:ind w:firstLine="640" w:firstLineChars="200"/>
        <w:jc w:val="right"/>
        <w:rPr>
          <w:rFonts w:hint="eastAsia" w:ascii="仿宋" w:hAnsi="仿宋" w:eastAsia="仿宋" w:cs="宋体"/>
          <w:color w:val="000000"/>
          <w:sz w:val="32"/>
          <w:szCs w:val="32"/>
        </w:rPr>
      </w:pPr>
    </w:p>
    <w:p w14:paraId="2878DD85">
      <w:pPr>
        <w:spacing w:line="600" w:lineRule="exact"/>
        <w:ind w:firstLine="640" w:firstLineChars="200"/>
        <w:jc w:val="right"/>
        <w:rPr>
          <w:rFonts w:hint="eastAsia" w:ascii="仿宋" w:hAnsi="仿宋" w:eastAsia="仿宋" w:cs="宋体"/>
          <w:color w:val="000000"/>
          <w:sz w:val="32"/>
          <w:szCs w:val="32"/>
        </w:rPr>
      </w:pPr>
    </w:p>
    <w:p w14:paraId="0F0C4B01">
      <w:pPr>
        <w:spacing w:line="600" w:lineRule="exact"/>
        <w:ind w:firstLine="640" w:firstLineChars="200"/>
        <w:jc w:val="right"/>
        <w:rPr>
          <w:rFonts w:hint="eastAsia" w:ascii="仿宋" w:hAnsi="仿宋" w:eastAsia="仿宋" w:cs="宋体"/>
          <w:color w:val="000000"/>
          <w:sz w:val="32"/>
          <w:szCs w:val="32"/>
        </w:rPr>
      </w:pPr>
    </w:p>
    <w:p w14:paraId="38CB7455">
      <w:pPr>
        <w:spacing w:line="600" w:lineRule="exact"/>
        <w:ind w:firstLine="640" w:firstLineChars="200"/>
        <w:jc w:val="right"/>
        <w:rPr>
          <w:rFonts w:hint="eastAsia" w:ascii="仿宋" w:hAnsi="仿宋" w:eastAsia="仿宋" w:cs="宋体"/>
          <w:color w:val="000000"/>
          <w:sz w:val="32"/>
          <w:szCs w:val="32"/>
        </w:rPr>
      </w:pPr>
    </w:p>
    <w:p w14:paraId="359C2545">
      <w:pPr>
        <w:spacing w:line="600" w:lineRule="exact"/>
        <w:ind w:firstLine="640" w:firstLineChars="200"/>
        <w:jc w:val="right"/>
        <w:rPr>
          <w:rFonts w:hint="eastAsia" w:ascii="仿宋" w:hAnsi="仿宋" w:eastAsia="仿宋" w:cs="宋体"/>
          <w:color w:val="000000"/>
          <w:sz w:val="32"/>
          <w:szCs w:val="32"/>
        </w:rPr>
      </w:pPr>
    </w:p>
    <w:p w14:paraId="2ABD7F53">
      <w:pPr>
        <w:spacing w:line="600" w:lineRule="exact"/>
        <w:ind w:firstLine="640" w:firstLineChars="200"/>
        <w:jc w:val="right"/>
        <w:rPr>
          <w:rFonts w:hint="eastAsia" w:ascii="仿宋" w:hAnsi="仿宋" w:eastAsia="仿宋" w:cs="宋体"/>
          <w:color w:val="000000"/>
          <w:sz w:val="32"/>
          <w:szCs w:val="32"/>
        </w:rPr>
      </w:pPr>
    </w:p>
    <w:p w14:paraId="1B474166">
      <w:pPr>
        <w:spacing w:line="600" w:lineRule="exact"/>
        <w:ind w:firstLine="640" w:firstLineChars="200"/>
        <w:jc w:val="right"/>
        <w:rPr>
          <w:rFonts w:hint="eastAsia" w:ascii="仿宋" w:hAnsi="仿宋" w:eastAsia="仿宋" w:cs="宋体"/>
          <w:color w:val="000000"/>
          <w:sz w:val="32"/>
          <w:szCs w:val="32"/>
        </w:rPr>
      </w:pPr>
    </w:p>
    <w:p w14:paraId="133ABCC1">
      <w:pPr>
        <w:spacing w:line="600" w:lineRule="exact"/>
        <w:ind w:firstLine="640" w:firstLineChars="200"/>
        <w:jc w:val="right"/>
        <w:rPr>
          <w:rFonts w:hint="eastAsia" w:ascii="仿宋" w:hAnsi="仿宋" w:eastAsia="仿宋" w:cs="宋体"/>
          <w:color w:val="000000"/>
          <w:sz w:val="32"/>
          <w:szCs w:val="32"/>
          <w:lang w:eastAsia="zh-CN"/>
        </w:rPr>
      </w:pPr>
      <w:r>
        <w:rPr>
          <w:rFonts w:hint="eastAsia" w:ascii="仿宋" w:hAnsi="仿宋" w:eastAsia="仿宋" w:cs="宋体"/>
          <w:color w:val="000000"/>
          <w:sz w:val="32"/>
          <w:szCs w:val="32"/>
          <w:lang w:eastAsia="zh-CN"/>
        </w:rPr>
        <w:t>、</w:t>
      </w:r>
    </w:p>
    <w:p w14:paraId="7E853DF0">
      <w:pPr>
        <w:spacing w:line="600" w:lineRule="exact"/>
        <w:ind w:firstLine="640" w:firstLineChars="200"/>
        <w:jc w:val="right"/>
        <w:rPr>
          <w:rFonts w:hint="eastAsia" w:ascii="仿宋" w:hAnsi="仿宋" w:eastAsia="仿宋" w:cs="宋体"/>
          <w:color w:val="000000"/>
          <w:sz w:val="32"/>
          <w:szCs w:val="32"/>
          <w:lang w:eastAsia="zh-CN"/>
        </w:rPr>
      </w:pPr>
    </w:p>
    <w:p w14:paraId="0566A277">
      <w:pPr>
        <w:spacing w:line="600" w:lineRule="exact"/>
        <w:ind w:firstLine="640" w:firstLineChars="200"/>
        <w:jc w:val="right"/>
        <w:rPr>
          <w:rFonts w:hint="eastAsia" w:ascii="仿宋" w:hAnsi="仿宋" w:eastAsia="仿宋" w:cs="宋体"/>
          <w:color w:val="000000"/>
          <w:sz w:val="32"/>
          <w:szCs w:val="32"/>
          <w:lang w:eastAsia="zh-CN"/>
        </w:rPr>
      </w:pPr>
    </w:p>
    <w:p w14:paraId="09AF8E46">
      <w:pPr>
        <w:spacing w:line="600" w:lineRule="exact"/>
        <w:ind w:firstLine="640" w:firstLineChars="200"/>
        <w:jc w:val="right"/>
        <w:rPr>
          <w:rFonts w:hint="eastAsia" w:ascii="仿宋" w:hAnsi="仿宋" w:eastAsia="仿宋" w:cs="宋体"/>
          <w:color w:val="000000"/>
          <w:sz w:val="32"/>
          <w:szCs w:val="32"/>
          <w:lang w:eastAsia="zh-CN"/>
        </w:rPr>
      </w:pPr>
    </w:p>
    <w:p w14:paraId="2430E096">
      <w:pPr>
        <w:spacing w:line="600" w:lineRule="exact"/>
        <w:ind w:firstLine="640" w:firstLineChars="200"/>
        <w:jc w:val="right"/>
        <w:rPr>
          <w:rFonts w:hint="eastAsia" w:ascii="仿宋" w:hAnsi="仿宋" w:eastAsia="仿宋" w:cs="宋体"/>
          <w:color w:val="000000"/>
          <w:sz w:val="32"/>
          <w:szCs w:val="32"/>
          <w:lang w:eastAsia="zh-CN"/>
        </w:rPr>
      </w:pPr>
    </w:p>
    <w:p w14:paraId="155BAB6A">
      <w:bookmarkStart w:id="0" w:name="_GoBack"/>
      <w:bookmarkEnd w:id="0"/>
    </w:p>
    <w:sectPr>
      <w:pgSz w:w="11906" w:h="16838"/>
      <w:pgMar w:top="1270" w:right="1800" w:bottom="127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F040FC-3176-414F-B782-920F2B3963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6A619E8-3429-43A3-B963-29F4E0878D69}"/>
  </w:font>
  <w:font w:name="方正小标宋_GBK">
    <w:panose1 w:val="02000000000000000000"/>
    <w:charset w:val="86"/>
    <w:family w:val="auto"/>
    <w:pitch w:val="default"/>
    <w:sig w:usb0="A00002BF" w:usb1="38CF7CFA" w:usb2="00082016" w:usb3="00000000" w:csb0="00040001" w:csb1="00000000"/>
    <w:embedRegular r:id="rId3" w:fontKey="{E1A81B9A-6F00-4B7E-83D8-25317F9E2D40}"/>
  </w:font>
  <w:font w:name="仿宋">
    <w:panose1 w:val="02010609060101010101"/>
    <w:charset w:val="86"/>
    <w:family w:val="modern"/>
    <w:pitch w:val="default"/>
    <w:sig w:usb0="800002BF" w:usb1="38CF7CFA" w:usb2="00000016" w:usb3="00000000" w:csb0="00040001" w:csb1="00000000"/>
    <w:embedRegular r:id="rId4" w:fontKey="{100E5209-BA79-4225-B935-945048B2CB2E}"/>
  </w:font>
  <w:font w:name="仿宋_GB2312">
    <w:altName w:val="仿宋"/>
    <w:panose1 w:val="00000000000000000000"/>
    <w:charset w:val="86"/>
    <w:family w:val="auto"/>
    <w:pitch w:val="default"/>
    <w:sig w:usb0="00000000" w:usb1="00000000" w:usb2="00000000" w:usb3="00000000" w:csb0="00040000" w:csb1="00000000"/>
    <w:embedRegular r:id="rId5" w:fontKey="{E31EC911-90CE-4F19-9F23-72CEEE82E96A}"/>
  </w:font>
  <w:font w:name="楷体">
    <w:panose1 w:val="02010609060101010101"/>
    <w:charset w:val="86"/>
    <w:family w:val="modern"/>
    <w:pitch w:val="default"/>
    <w:sig w:usb0="800002BF" w:usb1="38CF7CFA" w:usb2="00000016" w:usb3="00000000" w:csb0="00040001" w:csb1="00000000"/>
    <w:embedRegular r:id="rId6" w:fontKey="{BDB2398E-2232-4CFF-B661-6FE79EBAAB9F}"/>
  </w:font>
  <w:font w:name="方正仿宋_GB2312">
    <w:panose1 w:val="02000000000000000000"/>
    <w:charset w:val="86"/>
    <w:family w:val="auto"/>
    <w:pitch w:val="default"/>
    <w:sig w:usb0="A00002BF" w:usb1="184F6CFA" w:usb2="00000012" w:usb3="00000000" w:csb0="00040001" w:csb1="00000000"/>
    <w:embedRegular r:id="rId7" w:fontKey="{2786AAF4-C8F8-4DC9-B2BF-5747BB25D232}"/>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wNGY2M2MzNTY2ODIxMWY1ODk0ZjQ5ZGFjNGY0NWEifQ=="/>
  </w:docVars>
  <w:rsids>
    <w:rsidRoot w:val="0725098F"/>
    <w:rsid w:val="0725098F"/>
    <w:rsid w:val="1667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8</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2024-10-09T01:10:00Z</dcterms:created>
  <dc:creator>雪化春来</dc:creator>
  <cp:lastModifiedBy>雪化春来</cp:lastModifiedBy>
  <cp:lastPrinted>2024-10-09T01:22:18Z</cp:lastPrinted>
  <dcterms:modified xsi:type="dcterms:W3CDTF">2024-10-09T01:24:19Z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7B163E8801F54A8699BCE6AB27F887E8_11</vt:lpwstr>
  </property>
</Properties>
</file>